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17" w:rsidRDefault="00DC2517" w:rsidP="008303A1">
      <w:pPr>
        <w:spacing w:after="0"/>
        <w:jc w:val="center"/>
        <w:rPr>
          <w:b/>
          <w:sz w:val="24"/>
          <w:szCs w:val="24"/>
        </w:rPr>
      </w:pPr>
      <w:bookmarkStart w:id="0" w:name="_GoBack"/>
      <w:bookmarkEnd w:id="0"/>
      <w:r w:rsidRPr="003A49A6">
        <w:rPr>
          <w:b/>
          <w:sz w:val="24"/>
          <w:szCs w:val="24"/>
        </w:rPr>
        <w:t>Executive Summary Template</w:t>
      </w:r>
      <w:r w:rsidR="00342AC0">
        <w:rPr>
          <w:b/>
          <w:sz w:val="24"/>
          <w:szCs w:val="24"/>
        </w:rPr>
        <w:t xml:space="preserve"> – In Vitro Diagnostic Devices</w:t>
      </w:r>
    </w:p>
    <w:p w:rsidR="008303A1" w:rsidRDefault="008303A1" w:rsidP="008303A1">
      <w:pPr>
        <w:spacing w:after="0"/>
        <w:jc w:val="center"/>
        <w:rPr>
          <w:sz w:val="24"/>
          <w:szCs w:val="24"/>
        </w:rPr>
      </w:pPr>
      <w:r w:rsidRPr="008303A1">
        <w:rPr>
          <w:sz w:val="24"/>
          <w:szCs w:val="24"/>
        </w:rPr>
        <w:t>&lt;</w:t>
      </w:r>
      <w:r>
        <w:rPr>
          <w:sz w:val="24"/>
          <w:szCs w:val="24"/>
        </w:rPr>
        <w:t>R</w:t>
      </w:r>
      <w:r w:rsidRPr="008303A1">
        <w:rPr>
          <w:sz w:val="24"/>
          <w:szCs w:val="24"/>
        </w:rPr>
        <w:t>emove any sections</w:t>
      </w:r>
      <w:r w:rsidR="00945D1B">
        <w:rPr>
          <w:sz w:val="24"/>
          <w:szCs w:val="24"/>
        </w:rPr>
        <w:t>/items</w:t>
      </w:r>
      <w:r w:rsidRPr="008303A1">
        <w:rPr>
          <w:sz w:val="24"/>
          <w:szCs w:val="24"/>
        </w:rPr>
        <w:t xml:space="preserve"> not applicable to the submission&gt;</w:t>
      </w:r>
    </w:p>
    <w:p w:rsidR="008303A1" w:rsidRPr="008303A1" w:rsidRDefault="008303A1" w:rsidP="008303A1">
      <w:pPr>
        <w:spacing w:after="0"/>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237"/>
      </w:tblGrid>
      <w:tr w:rsidR="00FF5B74" w:rsidTr="00437F42">
        <w:tc>
          <w:tcPr>
            <w:tcW w:w="2943" w:type="dxa"/>
          </w:tcPr>
          <w:p w:rsidR="00FF5B74" w:rsidRPr="00765019" w:rsidRDefault="00FF5B74">
            <w:pPr>
              <w:rPr>
                <w:color w:val="FF0000"/>
              </w:rPr>
            </w:pPr>
          </w:p>
        </w:tc>
        <w:tc>
          <w:tcPr>
            <w:tcW w:w="6237" w:type="dxa"/>
          </w:tcPr>
          <w:p w:rsidR="00FF5B74" w:rsidRPr="00765019" w:rsidRDefault="00FF5B74" w:rsidP="00DC2517">
            <w:pPr>
              <w:rPr>
                <w:color w:val="FF0000"/>
              </w:rPr>
            </w:pPr>
          </w:p>
        </w:tc>
      </w:tr>
      <w:tr w:rsidR="00781244" w:rsidTr="00437F42">
        <w:tc>
          <w:tcPr>
            <w:tcW w:w="2943" w:type="dxa"/>
          </w:tcPr>
          <w:p w:rsidR="00781244" w:rsidRPr="005A4B8B" w:rsidRDefault="00781244">
            <w:pPr>
              <w:rPr>
                <w:b/>
              </w:rPr>
            </w:pPr>
            <w:r w:rsidRPr="005A4B8B">
              <w:rPr>
                <w:b/>
              </w:rPr>
              <w:t>Name of the Device:</w:t>
            </w:r>
          </w:p>
          <w:p w:rsidR="00781244" w:rsidRPr="005A4B8B" w:rsidRDefault="00781244">
            <w:pPr>
              <w:rPr>
                <w:b/>
              </w:rPr>
            </w:pPr>
          </w:p>
        </w:tc>
        <w:tc>
          <w:tcPr>
            <w:tcW w:w="6237" w:type="dxa"/>
          </w:tcPr>
          <w:p w:rsidR="00781244" w:rsidRDefault="00781244" w:rsidP="008C08BE">
            <w:r>
              <w:t>&lt;</w:t>
            </w:r>
            <w:r>
              <w:rPr>
                <w:b/>
                <w:i/>
              </w:rPr>
              <w:t xml:space="preserve">Insert Text: </w:t>
            </w:r>
            <w:r>
              <w:t>Trade Name, Proprietary Name&gt;</w:t>
            </w:r>
          </w:p>
          <w:p w:rsidR="00781244" w:rsidRDefault="00781244" w:rsidP="008C08BE"/>
        </w:tc>
      </w:tr>
      <w:tr w:rsidR="0078036F" w:rsidTr="00437F42">
        <w:tc>
          <w:tcPr>
            <w:tcW w:w="2943" w:type="dxa"/>
          </w:tcPr>
          <w:p w:rsidR="0078036F" w:rsidRPr="005A4B8B" w:rsidRDefault="005A4B8B">
            <w:pPr>
              <w:rPr>
                <w:b/>
              </w:rPr>
            </w:pPr>
            <w:r>
              <w:rPr>
                <w:b/>
              </w:rPr>
              <w:t>Intended/</w:t>
            </w:r>
            <w:r w:rsidR="0078036F" w:rsidRPr="005A4B8B">
              <w:rPr>
                <w:b/>
              </w:rPr>
              <w:t>Indications for Use:</w:t>
            </w:r>
          </w:p>
          <w:p w:rsidR="0078036F" w:rsidRPr="005A4B8B" w:rsidRDefault="0078036F">
            <w:pPr>
              <w:rPr>
                <w:b/>
              </w:rPr>
            </w:pPr>
          </w:p>
        </w:tc>
        <w:tc>
          <w:tcPr>
            <w:tcW w:w="6237" w:type="dxa"/>
          </w:tcPr>
          <w:p w:rsidR="0078036F" w:rsidRPr="00781244" w:rsidRDefault="00E219E5">
            <w:pPr>
              <w:rPr>
                <w:i/>
              </w:rPr>
            </w:pPr>
            <w:r w:rsidRPr="00781244">
              <w:rPr>
                <w:i/>
              </w:rPr>
              <w:t>&lt;Insert Text&gt;</w:t>
            </w:r>
          </w:p>
        </w:tc>
      </w:tr>
      <w:tr w:rsidR="0078036F" w:rsidTr="00437F42">
        <w:tc>
          <w:tcPr>
            <w:tcW w:w="2943" w:type="dxa"/>
          </w:tcPr>
          <w:p w:rsidR="0078036F" w:rsidRPr="005A4B8B" w:rsidRDefault="0078036F">
            <w:pPr>
              <w:rPr>
                <w:b/>
              </w:rPr>
            </w:pPr>
            <w:r w:rsidRPr="005A4B8B">
              <w:rPr>
                <w:b/>
              </w:rPr>
              <w:t>Intended User:</w:t>
            </w:r>
          </w:p>
          <w:p w:rsidR="0078036F" w:rsidRPr="005A4B8B" w:rsidRDefault="0078036F">
            <w:pPr>
              <w:rPr>
                <w:b/>
              </w:rPr>
            </w:pPr>
          </w:p>
        </w:tc>
        <w:tc>
          <w:tcPr>
            <w:tcW w:w="6237" w:type="dxa"/>
          </w:tcPr>
          <w:p w:rsidR="0078036F" w:rsidRPr="00781244" w:rsidRDefault="00E219E5">
            <w:pPr>
              <w:rPr>
                <w:i/>
              </w:rPr>
            </w:pPr>
            <w:r w:rsidRPr="00781244">
              <w:rPr>
                <w:i/>
              </w:rPr>
              <w:t>&lt;Insert Text&gt;</w:t>
            </w:r>
          </w:p>
        </w:tc>
      </w:tr>
      <w:tr w:rsidR="00DC2517" w:rsidTr="00437F42">
        <w:tc>
          <w:tcPr>
            <w:tcW w:w="2943" w:type="dxa"/>
          </w:tcPr>
          <w:p w:rsidR="00DC2517" w:rsidRPr="005A4B8B" w:rsidRDefault="00FF5B74">
            <w:pPr>
              <w:rPr>
                <w:b/>
              </w:rPr>
            </w:pPr>
            <w:r w:rsidRPr="005A4B8B">
              <w:rPr>
                <w:b/>
              </w:rPr>
              <w:t>Device Classification:</w:t>
            </w:r>
          </w:p>
          <w:p w:rsidR="00FF5B74" w:rsidRPr="005A4B8B" w:rsidRDefault="00FF5B74">
            <w:pPr>
              <w:rPr>
                <w:b/>
              </w:rPr>
            </w:pPr>
          </w:p>
        </w:tc>
        <w:sdt>
          <w:sdtPr>
            <w:alias w:val="Classification"/>
            <w:tag w:val="Classification"/>
            <w:id w:val="306057406"/>
            <w:placeholder>
              <w:docPart w:val="1E08C37070DB44D092AE1B86A1196848"/>
            </w:placeholder>
            <w:showingPlcHdr/>
            <w:dropDownList>
              <w:listItem w:value="Choose an item or remove drop down box to type free text"/>
              <w:listItem w:displayText="Class III - ITA" w:value="Class III - ITA"/>
              <w:listItem w:displayText="Class III - IVDD" w:value="Class III - IVDD"/>
              <w:listItem w:displayText="Class III - Medical Device" w:value="Class III - Medical Device"/>
              <w:listItem w:displayText="Class III - Medical Device (Combination Product)" w:value="Class III - Medical Device (Combination Product)"/>
              <w:listItem w:displayText="Class IV - ITA" w:value="Class IV - ITA"/>
              <w:listItem w:displayText="Class IV - IVDD" w:value="Class IV - IVDD"/>
              <w:listItem w:displayText="Class IV - Medical Device" w:value="Class IV - Medical Device"/>
              <w:listItem w:displayText="Class IV - Medical Device (Combination Product)" w:value="Class IV - Medical Device (Combination Product)"/>
            </w:dropDownList>
          </w:sdtPr>
          <w:sdtContent>
            <w:tc>
              <w:tcPr>
                <w:tcW w:w="6237" w:type="dxa"/>
              </w:tcPr>
              <w:p w:rsidR="00DC2517" w:rsidRDefault="00957074">
                <w:r w:rsidRPr="004F14F9">
                  <w:rPr>
                    <w:rStyle w:val="PlaceholderText"/>
                  </w:rPr>
                  <w:t>Choose an item.</w:t>
                </w:r>
              </w:p>
            </w:tc>
          </w:sdtContent>
        </w:sdt>
      </w:tr>
      <w:tr w:rsidR="00DC2517" w:rsidTr="00437F42">
        <w:tc>
          <w:tcPr>
            <w:tcW w:w="2943" w:type="dxa"/>
          </w:tcPr>
          <w:p w:rsidR="00DC2517" w:rsidRPr="005A4B8B" w:rsidRDefault="00FF5B74">
            <w:pPr>
              <w:rPr>
                <w:b/>
              </w:rPr>
            </w:pPr>
            <w:r w:rsidRPr="005A4B8B">
              <w:rPr>
                <w:b/>
              </w:rPr>
              <w:t>Classification Rule:</w:t>
            </w:r>
          </w:p>
          <w:p w:rsidR="00FF5B74" w:rsidRPr="005A4B8B" w:rsidRDefault="00FF5B74">
            <w:pPr>
              <w:rPr>
                <w:b/>
              </w:rPr>
            </w:pPr>
          </w:p>
        </w:tc>
        <w:tc>
          <w:tcPr>
            <w:tcW w:w="6237" w:type="dxa"/>
          </w:tcPr>
          <w:sdt>
            <w:sdtPr>
              <w:alias w:val="Classification Rule"/>
              <w:tag w:val="Classification Rule"/>
              <w:id w:val="855470656"/>
              <w:placeholder>
                <w:docPart w:val="70AA08D721DD4C5C86B24C6ABA9E8C38"/>
              </w:placeholder>
              <w:showingPlcHdr/>
              <w:dropDownList>
                <w:listItem w:value="Choose an item or remove drop down box to type free text"/>
                <w:listItem w:displayText="Rule 1: Intended to be used to detect the presence of, or exposure to, a transmissible agent in blood, blood components, blood derivatives, tissues or organs to assess their suitability for transfusion or transplantation is classified as Class IV" w:value="Rule 1: Intended to be used to detect the presence of, or exposure to, a transmissible agent in blood, blood components, blood derivatives, tissues or organs to assess their suitability for transfusion or transplantation is classified as Class IV"/>
                <w:listItem w:displayText="Rule 2[a]: it is intended to be used to detect the presence of, or exposure to, a transmissible agent that causes a life-threatening disease if there is a risk of propagation in the Canadian population [..] is classified as Class IV" w:value="Rule 2[a]: it is intended to be used to detect the presence of, or exposure to, a transmissible agent that causes a life-threatening disease if there is a risk of propagation in the Canadian population [..] is classified as Class IV"/>
                <w:listItem w:displayText="Rule 2[b](i): it is intended to be used to detect the presence of, or exposure to, a transmissible agent that causes a serious disease and where there is a risk of propagation in the Canadian population - Class III" w:value="Rule 2[b](i): it is intended to be used to detect the presence of, or exposure to, a transmissible agent that causes a serious disease and where there is a risk of propagation in the Canadian population - Class III"/>
                <w:listItem w:displayText="Rule 2[b](ii): used to detect the presence of, or exposure to, a transmissible agent and is intended to be used to detect the presence of, or exposure to, a sexually transmitted agent - Class III" w:value="Rule 2[b](ii): used to detect the presence of, or exposure to, a transmissible agent and is intended to be used to detect the presence of, or exposure to, a sexually transmitted agent - Class III"/>
                <w:listItem w:displayText="Rule 2[b](iii):  used to detect the presence of, or exposure to, a transmissible agent and used to detect the presence of an infectious agent in cerebrospinal fluid or blood - Class III" w:value="Rule 2[b](iii):  used to detect the presence of, or exposure to, a transmissible agent and used to detect the presence of an infectious agent in cerebrospinal fluid or blood - Class III"/>
                <w:listItem w:displayText="Rule 2[b](iv): used to detect the presence of, or exposure to, a transmissible agent and there is a risk that an erroneous result would cause death or severe disability to the individual being tested, or to the individual's offspring - Class III" w:value="Rule 2[b](iv): used to detect the presence of, or exposure to, a transmissible agent and there is a risk that an erroneous result would cause death or severe disability to the individual being tested, or to the individual's offspring - Class III"/>
                <w:listItem w:displayText="Rule 3:  intended to be used for patient management is classified as Class II" w:value="Rule 3:  intended to be used for patient management is classified as Class II"/>
                <w:listItem w:displayText="Rule 3[a]: Used for the management of patients suffering from a life threatening disease - Class III" w:value="Rule 3[a]: Used for the management of patients suffering from a life threatening disease - Class III"/>
                <w:listItem w:displayText="Rule 3[b]: Used for patient management and there is a risk that an erroneous result would lead to a patient management decision that results in an imminent life-threatening situation to the patient - Class III" w:value="Rule 3[b]: Used for patient management and there is a risk that an erroneous result would lead to a patient management decision that results in an imminent life-threatening situation to the patient - Class III"/>
                <w:listItem w:displayText="Rule 4: An IVDD that is not subject to rules 1 to 3 and that is intended to be used in diagnosis or patient management is classified as Class II" w:value="Rule 4: An IVDD that is not subject to rules 1 to 3 and that is intended to be used in diagnosis or patient management is classified as Class II"/>
                <w:listItem w:displayText="Rule 4[a]:  it is intended to be used in screening, for or in the diagnosis of cancer - Class III" w:value="Rule 4[a]:  it is intended to be used in screening, for or in the diagnosis of cancer - Class III"/>
                <w:listItem w:displayText="Rule 4[b]: intended to be used for genetic testing - Class III" w:value="Rule 4[b]: intended to be used for genetic testing - Class III"/>
                <w:listItem w:displayText="Rule 4[c]: it is intended to be used in screening for congenital disorders in the fetus - Class III" w:value="Rule 4[c]: it is intended to be used in screening for congenital disorders in the fetus - Class III"/>
                <w:listItem w:displayText="Rule 4[d]: there is a risk that an erroneous diagnostic result would cause death or severe disability to the patient being tested, or to that patient's offspring - Class III" w:value="Rule 4[d]: there is a risk that an erroneous diagnostic result would cause death or severe disability to the patient being tested, or to that patient's offspring - Class III"/>
                <w:listItem w:displayText="Rule 4[e]: intended to be used for disease staging - Class III" w:value="Rule 4[e]: intended to be used for disease staging - Class III"/>
                <w:listItem w:displayText="Rule 4[f]: used to monitor levels of drugs, substances or biological components where there is a risk that an erroneous result would lead to a patient management decision that results in an imminent life-threatening situation to the patient - Class III" w:value="Rule 4[f]: used to monitor levels of drugs, substances or biological components where there is a risk that an erroneous result would lead to a patient management decision that results in an imminent life-threatening situation to the patient - Class III"/>
                <w:listItem w:displayText="Rule 5: An IVDD that is intended to be used for blood grouping or tissue typing to ensure the immunological compatibility of blood, blood components, tissue or organs that are intended for transfusion or transplantation is classified as Class III" w:value="Rule 5: An IVDD that is intended to be used for blood grouping or tissue typing to ensure the immunological compatibility of blood, blood components, tissue or organs that are intended for transfusion or transplantation is classified as Class III"/>
                <w:listItem w:displayText="Rule 6: A near patient IVDD is classified as Class III" w:value="Rule 6: A near patient IVDD is classified as Class III"/>
                <w:listItem w:displayText="Rule 7: In cases where an IVDD, including analysers, reagents and software, is intended to be used with another IVDD, the class of both IVDDs will be that of the IVDD in the class representing the higher risk" w:value="Rule 7: In cases where an IVDD, including analysers, reagents and software, is intended to be used with another IVDD, the class of both IVDDs will be that of the IVDD in the class representing the higher risk"/>
              </w:dropDownList>
            </w:sdtPr>
            <w:sdtContent>
              <w:p w:rsidR="005A4B8B" w:rsidRDefault="008F5B58">
                <w:r w:rsidRPr="004F14F9">
                  <w:rPr>
                    <w:rStyle w:val="PlaceholderText"/>
                  </w:rPr>
                  <w:t>Choose an item.</w:t>
                </w:r>
              </w:p>
            </w:sdtContent>
          </w:sdt>
        </w:tc>
      </w:tr>
      <w:tr w:rsidR="00781244" w:rsidTr="00437F42">
        <w:tc>
          <w:tcPr>
            <w:tcW w:w="2943" w:type="dxa"/>
          </w:tcPr>
          <w:p w:rsidR="00781244" w:rsidRPr="005A4B8B" w:rsidRDefault="00781244">
            <w:pPr>
              <w:rPr>
                <w:b/>
              </w:rPr>
            </w:pPr>
            <w:r w:rsidRPr="005A4B8B">
              <w:rPr>
                <w:b/>
              </w:rPr>
              <w:t>Legal Manufacturer:</w:t>
            </w:r>
          </w:p>
          <w:p w:rsidR="00781244" w:rsidRPr="005A4B8B" w:rsidRDefault="00781244">
            <w:pPr>
              <w:rPr>
                <w:b/>
              </w:rPr>
            </w:pPr>
          </w:p>
        </w:tc>
        <w:tc>
          <w:tcPr>
            <w:tcW w:w="6237" w:type="dxa"/>
          </w:tcPr>
          <w:p w:rsidR="00781244" w:rsidRDefault="00781244" w:rsidP="008C08BE">
            <w:r>
              <w:t>&lt;</w:t>
            </w:r>
            <w:r w:rsidRPr="00C94064">
              <w:rPr>
                <w:b/>
                <w:i/>
              </w:rPr>
              <w:t>Insert Text</w:t>
            </w:r>
            <w:r>
              <w:rPr>
                <w:b/>
                <w:i/>
              </w:rPr>
              <w:t xml:space="preserve">: </w:t>
            </w:r>
            <w:r w:rsidRPr="001A3A7A">
              <w:t>Name and address of the legal manufacturer as stated on the device label&gt;</w:t>
            </w:r>
          </w:p>
          <w:p w:rsidR="00781244" w:rsidRDefault="00781244" w:rsidP="008C08BE"/>
        </w:tc>
      </w:tr>
      <w:tr w:rsidR="00781244" w:rsidTr="00437F42">
        <w:tc>
          <w:tcPr>
            <w:tcW w:w="2943" w:type="dxa"/>
          </w:tcPr>
          <w:p w:rsidR="00781244" w:rsidRPr="005A4B8B" w:rsidRDefault="00781244">
            <w:pPr>
              <w:rPr>
                <w:b/>
              </w:rPr>
            </w:pPr>
            <w:r>
              <w:rPr>
                <w:b/>
              </w:rPr>
              <w:t>Physical Manufacturing Location</w:t>
            </w:r>
          </w:p>
        </w:tc>
        <w:tc>
          <w:tcPr>
            <w:tcW w:w="6237" w:type="dxa"/>
          </w:tcPr>
          <w:p w:rsidR="00781244" w:rsidRPr="000B1FA2" w:rsidRDefault="00781244" w:rsidP="008C08BE">
            <w:pPr>
              <w:rPr>
                <w:rFonts w:cstheme="minorHAnsi"/>
                <w:b/>
                <w:i/>
                <w:shd w:val="clear" w:color="auto" w:fill="FFFFFF"/>
              </w:rPr>
            </w:pPr>
            <w:r w:rsidRPr="000B1FA2">
              <w:rPr>
                <w:rFonts w:cstheme="minorHAnsi"/>
                <w:b/>
                <w:i/>
                <w:shd w:val="clear" w:color="auto" w:fill="FFFFFF"/>
              </w:rPr>
              <w:t>&lt;Insert Text:</w:t>
            </w:r>
            <w:r w:rsidRPr="000B1FA2">
              <w:rPr>
                <w:rFonts w:cstheme="minorHAnsi"/>
                <w:i/>
                <w:shd w:val="clear" w:color="auto" w:fill="FFFFFF"/>
              </w:rPr>
              <w:t xml:space="preserve"> </w:t>
            </w:r>
            <w:r w:rsidRPr="001A3A7A">
              <w:rPr>
                <w:rFonts w:cstheme="minorHAnsi"/>
                <w:shd w:val="clear" w:color="auto" w:fill="FFFFFF"/>
              </w:rPr>
              <w:t>Name and address of the establishment where the device is being manufactured, if different from the legal manufacturer</w:t>
            </w:r>
            <w:r w:rsidRPr="001A3A7A">
              <w:rPr>
                <w:rFonts w:cstheme="minorHAnsi"/>
                <w:b/>
                <w:shd w:val="clear" w:color="auto" w:fill="FFFFFF"/>
              </w:rPr>
              <w:t>&gt;</w:t>
            </w:r>
          </w:p>
          <w:p w:rsidR="00781244" w:rsidRPr="000B1FA2" w:rsidRDefault="00781244" w:rsidP="008C08BE">
            <w:pPr>
              <w:rPr>
                <w:rFonts w:cstheme="minorHAnsi"/>
              </w:rPr>
            </w:pPr>
          </w:p>
        </w:tc>
      </w:tr>
      <w:tr w:rsidR="00781244" w:rsidTr="00437F42">
        <w:tc>
          <w:tcPr>
            <w:tcW w:w="2943" w:type="dxa"/>
          </w:tcPr>
          <w:p w:rsidR="00781244" w:rsidRPr="005A4B8B" w:rsidRDefault="00781244">
            <w:pPr>
              <w:rPr>
                <w:b/>
              </w:rPr>
            </w:pPr>
            <w:r>
              <w:rPr>
                <w:b/>
              </w:rPr>
              <w:t>Business Relationship</w:t>
            </w:r>
          </w:p>
        </w:tc>
        <w:tc>
          <w:tcPr>
            <w:tcW w:w="6237" w:type="dxa"/>
          </w:tcPr>
          <w:p w:rsidR="00781244" w:rsidRDefault="00781244" w:rsidP="008C08BE">
            <w:pPr>
              <w:rPr>
                <w:b/>
                <w:i/>
              </w:rPr>
            </w:pPr>
            <w:r w:rsidRPr="000B1FA2">
              <w:rPr>
                <w:b/>
                <w:i/>
              </w:rPr>
              <w:t xml:space="preserve">&lt;Insert text: </w:t>
            </w:r>
            <w:r w:rsidRPr="001A3A7A">
              <w:t>If the trademark owner is not the legal manufacturer, add extra information about the relationship of the trademark owner and the legal manufacturer relationship</w:t>
            </w:r>
            <w:r w:rsidRPr="001A3A7A">
              <w:rPr>
                <w:b/>
              </w:rPr>
              <w:t>&gt;</w:t>
            </w:r>
          </w:p>
          <w:p w:rsidR="00781244" w:rsidRPr="001A3A7A" w:rsidRDefault="00781244" w:rsidP="008C08BE">
            <w:pPr>
              <w:rPr>
                <w:b/>
                <w:i/>
              </w:rPr>
            </w:pPr>
          </w:p>
        </w:tc>
      </w:tr>
      <w:tr w:rsidR="00781244" w:rsidTr="00437F42">
        <w:tc>
          <w:tcPr>
            <w:tcW w:w="2943" w:type="dxa"/>
          </w:tcPr>
          <w:p w:rsidR="00781244" w:rsidRDefault="00781244">
            <w:pPr>
              <w:rPr>
                <w:b/>
              </w:rPr>
            </w:pPr>
            <w:r>
              <w:rPr>
                <w:b/>
              </w:rPr>
              <w:t>Canadian Importer:</w:t>
            </w:r>
          </w:p>
          <w:p w:rsidR="00781244" w:rsidRPr="005A4B8B" w:rsidRDefault="00781244">
            <w:pPr>
              <w:rPr>
                <w:b/>
              </w:rPr>
            </w:pPr>
          </w:p>
        </w:tc>
        <w:tc>
          <w:tcPr>
            <w:tcW w:w="6237" w:type="dxa"/>
          </w:tcPr>
          <w:p w:rsidR="00781244" w:rsidRDefault="00781244" w:rsidP="008C08BE">
            <w:r>
              <w:t>&lt;</w:t>
            </w:r>
            <w:r w:rsidRPr="00C94064">
              <w:rPr>
                <w:b/>
                <w:i/>
              </w:rPr>
              <w:t>Insert Text</w:t>
            </w:r>
            <w:r>
              <w:t>&gt;</w:t>
            </w:r>
          </w:p>
        </w:tc>
      </w:tr>
      <w:tr w:rsidR="00781244" w:rsidTr="00437F42">
        <w:tc>
          <w:tcPr>
            <w:tcW w:w="2943" w:type="dxa"/>
          </w:tcPr>
          <w:p w:rsidR="00781244" w:rsidRDefault="00781244" w:rsidP="008303A1">
            <w:pPr>
              <w:rPr>
                <w:b/>
              </w:rPr>
            </w:pPr>
            <w:r w:rsidRPr="0078036F">
              <w:rPr>
                <w:b/>
              </w:rPr>
              <w:t>Health Canada Correspondence:</w:t>
            </w:r>
          </w:p>
          <w:p w:rsidR="00781244" w:rsidRPr="0078036F" w:rsidRDefault="00781244" w:rsidP="008303A1">
            <w:pPr>
              <w:rPr>
                <w:b/>
              </w:rPr>
            </w:pPr>
          </w:p>
        </w:tc>
        <w:tc>
          <w:tcPr>
            <w:tcW w:w="6237" w:type="dxa"/>
          </w:tcPr>
          <w:p w:rsidR="00781244" w:rsidRDefault="00781244" w:rsidP="008C08BE">
            <w:r>
              <w:t>&lt;</w:t>
            </w:r>
            <w:r w:rsidRPr="00C94064">
              <w:rPr>
                <w:b/>
                <w:i/>
              </w:rPr>
              <w:t xml:space="preserve">Insert </w:t>
            </w:r>
            <w:r>
              <w:rPr>
                <w:b/>
                <w:i/>
              </w:rPr>
              <w:t>T</w:t>
            </w:r>
            <w:r w:rsidRPr="00C94064">
              <w:rPr>
                <w:b/>
                <w:i/>
              </w:rPr>
              <w:t xml:space="preserve">ext: </w:t>
            </w:r>
            <w:r>
              <w:t>Summary of pre-submission discussions with Health Canada worth noting&gt;</w:t>
            </w:r>
          </w:p>
          <w:p w:rsidR="00781244" w:rsidRDefault="00781244" w:rsidP="008C08BE"/>
        </w:tc>
      </w:tr>
      <w:tr w:rsidR="00781244" w:rsidTr="00437F42">
        <w:tc>
          <w:tcPr>
            <w:tcW w:w="2943" w:type="dxa"/>
          </w:tcPr>
          <w:p w:rsidR="00781244" w:rsidRDefault="00781244" w:rsidP="008C08BE">
            <w:pPr>
              <w:rPr>
                <w:b/>
              </w:rPr>
            </w:pPr>
            <w:r>
              <w:rPr>
                <w:b/>
              </w:rPr>
              <w:t>For significant amendments:</w:t>
            </w:r>
          </w:p>
          <w:p w:rsidR="00781244" w:rsidRPr="0078036F" w:rsidRDefault="00781244" w:rsidP="008303A1">
            <w:pPr>
              <w:rPr>
                <w:b/>
              </w:rPr>
            </w:pPr>
          </w:p>
        </w:tc>
        <w:tc>
          <w:tcPr>
            <w:tcW w:w="6237" w:type="dxa"/>
          </w:tcPr>
          <w:p w:rsidR="00781244" w:rsidRPr="0025719E" w:rsidRDefault="00781244" w:rsidP="008C08BE">
            <w:pPr>
              <w:autoSpaceDE w:val="0"/>
              <w:autoSpaceDN w:val="0"/>
              <w:rPr>
                <w:rFonts w:cstheme="minorHAnsi"/>
                <w:iCs/>
                <w:lang w:val="en-CA"/>
              </w:rPr>
            </w:pPr>
            <w:r>
              <w:t>&lt;</w:t>
            </w:r>
            <w:r w:rsidRPr="00462B66">
              <w:rPr>
                <w:b/>
                <w:i/>
              </w:rPr>
              <w:t>Insert Text:</w:t>
            </w:r>
            <w:r>
              <w:rPr>
                <w:rFonts w:cstheme="minorHAnsi"/>
              </w:rPr>
              <w:t xml:space="preserve"> Include the l</w:t>
            </w:r>
            <w:proofErr w:type="spellStart"/>
            <w:r w:rsidRPr="0025719E">
              <w:rPr>
                <w:rFonts w:cstheme="minorHAnsi"/>
                <w:iCs/>
                <w:lang w:val="en-CA"/>
              </w:rPr>
              <w:t>icence</w:t>
            </w:r>
            <w:proofErr w:type="spellEnd"/>
            <w:r w:rsidRPr="0025719E">
              <w:rPr>
                <w:rFonts w:cstheme="minorHAnsi"/>
                <w:iCs/>
                <w:lang w:val="en-CA"/>
              </w:rPr>
              <w:t xml:space="preserve"> name</w:t>
            </w:r>
            <w:r>
              <w:rPr>
                <w:rFonts w:cstheme="minorHAnsi"/>
                <w:iCs/>
                <w:lang w:val="en-CA"/>
              </w:rPr>
              <w:t xml:space="preserve"> and </w:t>
            </w:r>
            <w:r w:rsidRPr="0025719E">
              <w:rPr>
                <w:rFonts w:cstheme="minorHAnsi"/>
                <w:iCs/>
                <w:lang w:val="en-CA"/>
              </w:rPr>
              <w:t>number you are amending</w:t>
            </w:r>
            <w:r>
              <w:rPr>
                <w:rFonts w:cstheme="minorHAnsi"/>
                <w:iCs/>
                <w:lang w:val="en-CA"/>
              </w:rPr>
              <w:t>, application number (if available).  Provide a d</w:t>
            </w:r>
            <w:r w:rsidRPr="00462B66">
              <w:rPr>
                <w:rFonts w:cstheme="minorHAnsi"/>
                <w:iCs/>
                <w:lang w:val="en-CA"/>
              </w:rPr>
              <w:t>escription of the change requested (e.g., changes in</w:t>
            </w:r>
            <w:r>
              <w:rPr>
                <w:rFonts w:cstheme="minorHAnsi"/>
                <w:iCs/>
                <w:lang w:val="en-CA"/>
              </w:rPr>
              <w:t xml:space="preserve"> </w:t>
            </w:r>
            <w:r w:rsidRPr="00462B66">
              <w:rPr>
                <w:rFonts w:cstheme="minorHAnsi"/>
                <w:iCs/>
                <w:lang w:val="en-CA"/>
              </w:rPr>
              <w:t>design, performance, indications, changes to manufacturing processes, manufacturing</w:t>
            </w:r>
            <w:r>
              <w:rPr>
                <w:rFonts w:cstheme="minorHAnsi"/>
                <w:iCs/>
                <w:lang w:val="en-CA"/>
              </w:rPr>
              <w:t xml:space="preserve"> </w:t>
            </w:r>
            <w:r w:rsidRPr="00462B66">
              <w:rPr>
                <w:rFonts w:cstheme="minorHAnsi"/>
                <w:iCs/>
                <w:lang w:val="en-CA"/>
              </w:rPr>
              <w:t>facilities, suppliers</w:t>
            </w:r>
            <w:r w:rsidRPr="0025719E">
              <w:rPr>
                <w:rFonts w:cstheme="minorHAnsi"/>
                <w:iCs/>
                <w:lang w:val="en-CA"/>
              </w:rPr>
              <w:t>&gt;</w:t>
            </w:r>
          </w:p>
          <w:p w:rsidR="00781244" w:rsidRDefault="00781244" w:rsidP="008303A1"/>
        </w:tc>
      </w:tr>
      <w:tr w:rsidR="00781244" w:rsidTr="00437F42">
        <w:tc>
          <w:tcPr>
            <w:tcW w:w="2943" w:type="dxa"/>
          </w:tcPr>
          <w:p w:rsidR="00781244" w:rsidRDefault="00781244" w:rsidP="008C08BE">
            <w:pPr>
              <w:rPr>
                <w:b/>
              </w:rPr>
            </w:pPr>
            <w:r>
              <w:rPr>
                <w:b/>
              </w:rPr>
              <w:t>Additional Notes:</w:t>
            </w:r>
          </w:p>
          <w:p w:rsidR="00781244" w:rsidRDefault="00781244" w:rsidP="008C08BE">
            <w:pPr>
              <w:rPr>
                <w:b/>
              </w:rPr>
            </w:pPr>
          </w:p>
        </w:tc>
        <w:tc>
          <w:tcPr>
            <w:tcW w:w="6237" w:type="dxa"/>
          </w:tcPr>
          <w:p w:rsidR="00781244" w:rsidRDefault="00781244" w:rsidP="008C08BE">
            <w:r>
              <w:t>&lt;</w:t>
            </w:r>
            <w:r w:rsidRPr="00C94064">
              <w:rPr>
                <w:b/>
                <w:i/>
              </w:rPr>
              <w:t xml:space="preserve">Insert </w:t>
            </w:r>
            <w:r>
              <w:rPr>
                <w:b/>
                <w:i/>
              </w:rPr>
              <w:t>T</w:t>
            </w:r>
            <w:r w:rsidRPr="00C94064">
              <w:rPr>
                <w:b/>
                <w:i/>
              </w:rPr>
              <w:t>ext:</w:t>
            </w:r>
            <w:r>
              <w:t xml:space="preserve">  Any high-level background information or unusual details that the manufacturer wishes to highlight in relation to the device, its history or relation to other approved devices to provide context to the submission.&gt;</w:t>
            </w:r>
          </w:p>
          <w:p w:rsidR="00781244" w:rsidRDefault="00781244" w:rsidP="008C08BE">
            <w:pPr>
              <w:autoSpaceDE w:val="0"/>
              <w:autoSpaceDN w:val="0"/>
            </w:pPr>
          </w:p>
        </w:tc>
      </w:tr>
    </w:tbl>
    <w:p w:rsidR="00945D1B" w:rsidRDefault="00945D1B" w:rsidP="00945D1B">
      <w:pPr>
        <w:tabs>
          <w:tab w:val="left" w:pos="2977"/>
          <w:tab w:val="left" w:pos="3119"/>
        </w:tabs>
        <w:spacing w:after="0" w:line="240" w:lineRule="auto"/>
        <w:rPr>
          <w:b/>
        </w:rPr>
      </w:pPr>
    </w:p>
    <w:p w:rsidR="00016E4A" w:rsidRDefault="00016E4A" w:rsidP="00945D1B">
      <w:pPr>
        <w:tabs>
          <w:tab w:val="left" w:pos="2977"/>
          <w:tab w:val="left" w:pos="3119"/>
        </w:tabs>
        <w:spacing w:after="0" w:line="240" w:lineRule="auto"/>
        <w:rPr>
          <w:b/>
        </w:rPr>
      </w:pPr>
    </w:p>
    <w:p w:rsidR="00945D1B" w:rsidRPr="00945D1B" w:rsidRDefault="00945D1B" w:rsidP="00945D1B">
      <w:pPr>
        <w:tabs>
          <w:tab w:val="left" w:pos="2977"/>
          <w:tab w:val="left" w:pos="3119"/>
        </w:tabs>
        <w:spacing w:after="0" w:line="240" w:lineRule="auto"/>
        <w:rPr>
          <w:b/>
        </w:rPr>
      </w:pPr>
      <w:r w:rsidRPr="00945D1B">
        <w:rPr>
          <w:b/>
        </w:rPr>
        <w:t>Description of the Device:</w:t>
      </w:r>
      <w:r w:rsidRPr="00945D1B">
        <w:rPr>
          <w:b/>
        </w:rPr>
        <w:tab/>
      </w:r>
    </w:p>
    <w:p w:rsidR="00E219E5" w:rsidRDefault="00E219E5" w:rsidP="0078036F">
      <w:pPr>
        <w:pStyle w:val="ListParagraph"/>
        <w:numPr>
          <w:ilvl w:val="0"/>
          <w:numId w:val="2"/>
        </w:numPr>
        <w:tabs>
          <w:tab w:val="left" w:pos="2977"/>
          <w:tab w:val="left" w:pos="3119"/>
        </w:tabs>
        <w:spacing w:after="0" w:line="240" w:lineRule="auto"/>
        <w:ind w:left="709"/>
      </w:pPr>
      <w:r>
        <w:t>Background</w:t>
      </w:r>
      <w:r w:rsidR="00D52882">
        <w:t>/introduction</w:t>
      </w:r>
    </w:p>
    <w:p w:rsidR="00D52882" w:rsidRDefault="00D52882" w:rsidP="0078036F">
      <w:pPr>
        <w:pStyle w:val="ListParagraph"/>
        <w:numPr>
          <w:ilvl w:val="0"/>
          <w:numId w:val="2"/>
        </w:numPr>
        <w:tabs>
          <w:tab w:val="left" w:pos="2977"/>
          <w:tab w:val="left" w:pos="3119"/>
        </w:tabs>
        <w:spacing w:after="0" w:line="240" w:lineRule="auto"/>
        <w:ind w:left="709"/>
      </w:pPr>
      <w:r>
        <w:t>Purpose of the submission</w:t>
      </w:r>
    </w:p>
    <w:p w:rsidR="00945D1B" w:rsidRDefault="00A14925" w:rsidP="0078036F">
      <w:pPr>
        <w:pStyle w:val="ListParagraph"/>
        <w:numPr>
          <w:ilvl w:val="0"/>
          <w:numId w:val="2"/>
        </w:numPr>
        <w:tabs>
          <w:tab w:val="left" w:pos="2977"/>
          <w:tab w:val="left" w:pos="3119"/>
        </w:tabs>
        <w:spacing w:after="0" w:line="240" w:lineRule="auto"/>
        <w:ind w:left="709"/>
      </w:pPr>
      <w:r>
        <w:t xml:space="preserve">Concise </w:t>
      </w:r>
      <w:r w:rsidR="00945D1B">
        <w:t>Description of the device</w:t>
      </w:r>
      <w:r w:rsidR="00016E4A">
        <w:t xml:space="preserve">, </w:t>
      </w:r>
      <w:r w:rsidR="00016E4A" w:rsidRPr="00016E4A">
        <w:t>not just a cut and paste from the submission</w:t>
      </w:r>
    </w:p>
    <w:p w:rsidR="00945D1B" w:rsidRDefault="00016E4A" w:rsidP="0078036F">
      <w:pPr>
        <w:pStyle w:val="ListParagraph"/>
        <w:numPr>
          <w:ilvl w:val="0"/>
          <w:numId w:val="2"/>
        </w:numPr>
        <w:tabs>
          <w:tab w:val="left" w:pos="2977"/>
          <w:tab w:val="left" w:pos="3119"/>
        </w:tabs>
        <w:spacing w:after="0" w:line="240" w:lineRule="auto"/>
        <w:ind w:left="709"/>
      </w:pPr>
      <w:r w:rsidRPr="00016E4A">
        <w:lastRenderedPageBreak/>
        <w:t xml:space="preserve">Consider adding items such as whether the device is </w:t>
      </w:r>
      <w:r>
        <w:t>u</w:t>
      </w:r>
      <w:r w:rsidR="00945D1B">
        <w:t>sed in conjunction with other devices</w:t>
      </w:r>
      <w:r w:rsidRPr="00016E4A">
        <w:t>/interdependent devices, compatibility, etc.)</w:t>
      </w:r>
    </w:p>
    <w:p w:rsidR="00A14925" w:rsidRDefault="00A14925" w:rsidP="00A14925">
      <w:pPr>
        <w:pStyle w:val="ListParagraph"/>
        <w:numPr>
          <w:ilvl w:val="0"/>
          <w:numId w:val="2"/>
        </w:numPr>
        <w:tabs>
          <w:tab w:val="left" w:pos="2977"/>
          <w:tab w:val="left" w:pos="3119"/>
        </w:tabs>
        <w:spacing w:after="0" w:line="240" w:lineRule="auto"/>
        <w:ind w:left="709"/>
      </w:pPr>
      <w:r>
        <w:t>If cross-referring applicable data, specify the application number and why this data is not necessary.</w:t>
      </w:r>
    </w:p>
    <w:p w:rsidR="00945D1B" w:rsidRDefault="00945D1B" w:rsidP="00945D1B">
      <w:pPr>
        <w:pStyle w:val="ListParagraph"/>
        <w:tabs>
          <w:tab w:val="left" w:pos="2977"/>
          <w:tab w:val="left" w:pos="3119"/>
        </w:tabs>
        <w:spacing w:after="0" w:line="240" w:lineRule="auto"/>
        <w:ind w:left="426"/>
      </w:pPr>
    </w:p>
    <w:p w:rsidR="00945D1B" w:rsidRDefault="00945D1B" w:rsidP="00945D1B">
      <w:pPr>
        <w:tabs>
          <w:tab w:val="left" w:pos="2977"/>
          <w:tab w:val="left" w:pos="3119"/>
        </w:tabs>
        <w:spacing w:after="0" w:line="240" w:lineRule="auto"/>
        <w:rPr>
          <w:b/>
        </w:rPr>
      </w:pPr>
      <w:r w:rsidRPr="00945D1B">
        <w:rPr>
          <w:b/>
        </w:rPr>
        <w:t xml:space="preserve">Predicates or </w:t>
      </w:r>
      <w:r w:rsidR="00F30071">
        <w:rPr>
          <w:b/>
        </w:rPr>
        <w:t>C</w:t>
      </w:r>
      <w:r w:rsidRPr="00945D1B">
        <w:rPr>
          <w:b/>
        </w:rPr>
        <w:t xml:space="preserve">omparator </w:t>
      </w:r>
      <w:r w:rsidR="00F30071">
        <w:rPr>
          <w:b/>
        </w:rPr>
        <w:t>D</w:t>
      </w:r>
      <w:r w:rsidRPr="00945D1B">
        <w:rPr>
          <w:b/>
        </w:rPr>
        <w:t>evices</w:t>
      </w:r>
      <w:r>
        <w:rPr>
          <w:b/>
        </w:rPr>
        <w:t>:</w:t>
      </w:r>
      <w:r w:rsidRPr="00945D1B">
        <w:rPr>
          <w:b/>
        </w:rPr>
        <w:t xml:space="preserve"> </w:t>
      </w:r>
    </w:p>
    <w:p w:rsidR="0078036F" w:rsidRDefault="0078036F" w:rsidP="0078036F">
      <w:pPr>
        <w:pStyle w:val="ListParagraph"/>
        <w:numPr>
          <w:ilvl w:val="0"/>
          <w:numId w:val="2"/>
        </w:numPr>
        <w:tabs>
          <w:tab w:val="left" w:pos="2977"/>
          <w:tab w:val="left" w:pos="3119"/>
        </w:tabs>
        <w:spacing w:after="0" w:line="240" w:lineRule="auto"/>
        <w:ind w:left="709"/>
      </w:pPr>
      <w:r w:rsidRPr="0078036F">
        <w:t xml:space="preserve">Name, manufacturer, </w:t>
      </w:r>
      <w:proofErr w:type="spellStart"/>
      <w:r w:rsidRPr="0078036F">
        <w:t>licence</w:t>
      </w:r>
      <w:proofErr w:type="spellEnd"/>
      <w:r w:rsidRPr="0078036F">
        <w:t xml:space="preserve"> number</w:t>
      </w:r>
      <w:r w:rsidR="00E219E5">
        <w:t>(s)</w:t>
      </w:r>
    </w:p>
    <w:p w:rsidR="00A14925" w:rsidRPr="008C08BE" w:rsidRDefault="00945D1B" w:rsidP="0078036F">
      <w:pPr>
        <w:pStyle w:val="ListParagraph"/>
        <w:numPr>
          <w:ilvl w:val="0"/>
          <w:numId w:val="2"/>
        </w:numPr>
        <w:tabs>
          <w:tab w:val="left" w:pos="2977"/>
          <w:tab w:val="left" w:pos="3119"/>
        </w:tabs>
        <w:spacing w:after="0" w:line="240" w:lineRule="auto"/>
        <w:ind w:left="709"/>
        <w:rPr>
          <w:b/>
        </w:rPr>
      </w:pPr>
      <w:r>
        <w:t>Include a brief description of how your product relates to predica</w:t>
      </w:r>
      <w:r w:rsidR="00781244">
        <w:t>tes or comparator devices licens</w:t>
      </w:r>
      <w:r>
        <w:t>ed in Canada</w:t>
      </w:r>
    </w:p>
    <w:p w:rsidR="008C08BE" w:rsidRPr="008C08BE" w:rsidRDefault="008C08BE" w:rsidP="0078036F">
      <w:pPr>
        <w:pStyle w:val="ListParagraph"/>
        <w:numPr>
          <w:ilvl w:val="0"/>
          <w:numId w:val="2"/>
        </w:numPr>
        <w:tabs>
          <w:tab w:val="left" w:pos="2977"/>
          <w:tab w:val="left" w:pos="3119"/>
        </w:tabs>
        <w:spacing w:after="0" w:line="240" w:lineRule="auto"/>
        <w:ind w:left="709"/>
      </w:pPr>
      <w:r w:rsidRPr="008C08BE">
        <w:rPr>
          <w:lang w:val="en-CA"/>
        </w:rPr>
        <w:t>If a Canadian licensed device is not available, provide a rationale to justify the use of the comparator device or chosen gold standard method</w:t>
      </w:r>
    </w:p>
    <w:p w:rsidR="00945D1B" w:rsidRPr="00A14925" w:rsidRDefault="00A14925" w:rsidP="00A14925">
      <w:pPr>
        <w:pStyle w:val="ListParagraph"/>
        <w:numPr>
          <w:ilvl w:val="0"/>
          <w:numId w:val="2"/>
        </w:numPr>
        <w:tabs>
          <w:tab w:val="left" w:pos="2977"/>
          <w:tab w:val="left" w:pos="3119"/>
        </w:tabs>
        <w:spacing w:after="0" w:line="240" w:lineRule="auto"/>
        <w:ind w:left="709"/>
      </w:pPr>
      <w:r>
        <w:t>For amendment applications, add</w:t>
      </w:r>
      <w:r w:rsidR="00945D1B">
        <w:t xml:space="preserve"> </w:t>
      </w:r>
      <w:r>
        <w:t xml:space="preserve">a clear and concise summary of what has changed and what remains the same from the currently licensed device, when possible use a Comparison Table.  </w:t>
      </w:r>
    </w:p>
    <w:p w:rsidR="0078036F" w:rsidRDefault="0078036F" w:rsidP="0078036F">
      <w:pPr>
        <w:spacing w:after="0"/>
        <w:rPr>
          <w:b/>
        </w:rPr>
      </w:pPr>
    </w:p>
    <w:p w:rsidR="0078036F" w:rsidRDefault="0078036F" w:rsidP="0078036F">
      <w:pPr>
        <w:spacing w:after="0"/>
        <w:rPr>
          <w:b/>
        </w:rPr>
      </w:pPr>
      <w:r w:rsidRPr="0078036F">
        <w:rPr>
          <w:b/>
        </w:rPr>
        <w:t xml:space="preserve">Summary of </w:t>
      </w:r>
      <w:r w:rsidR="00A14925">
        <w:rPr>
          <w:b/>
        </w:rPr>
        <w:t>Performance</w:t>
      </w:r>
      <w:r w:rsidRPr="0078036F">
        <w:rPr>
          <w:b/>
        </w:rPr>
        <w:t xml:space="preserve"> Information:</w:t>
      </w:r>
    </w:p>
    <w:p w:rsidR="00A14925" w:rsidRDefault="00A14925" w:rsidP="00A14925">
      <w:pPr>
        <w:pStyle w:val="ListParagraph"/>
        <w:numPr>
          <w:ilvl w:val="0"/>
          <w:numId w:val="1"/>
        </w:numPr>
        <w:spacing w:after="0"/>
      </w:pPr>
      <w:r>
        <w:t>If applicable, highlight any specific relevant salient issues.</w:t>
      </w:r>
    </w:p>
    <w:p w:rsidR="00A14925" w:rsidRDefault="00A14925" w:rsidP="00A14925">
      <w:pPr>
        <w:pStyle w:val="ListParagraph"/>
        <w:numPr>
          <w:ilvl w:val="0"/>
          <w:numId w:val="1"/>
        </w:numPr>
        <w:spacing w:after="0"/>
      </w:pPr>
      <w:r>
        <w:t>P</w:t>
      </w:r>
      <w:r w:rsidRPr="00683BEF">
        <w:t xml:space="preserve">rovide the equivalent of an </w:t>
      </w:r>
      <w:r>
        <w:t>“</w:t>
      </w:r>
      <w:r w:rsidRPr="00683BEF">
        <w:t>Abstract</w:t>
      </w:r>
      <w:r>
        <w:t>”</w:t>
      </w:r>
      <w:r w:rsidRPr="00683BEF">
        <w:t xml:space="preserve"> that concisely summarizes the </w:t>
      </w:r>
      <w:r>
        <w:t xml:space="preserve">analytical and clinical studies to support the </w:t>
      </w:r>
      <w:r w:rsidRPr="009579AE">
        <w:t>performance</w:t>
      </w:r>
      <w:r w:rsidRPr="00683BEF">
        <w:t xml:space="preserve"> </w:t>
      </w:r>
      <w:r>
        <w:t xml:space="preserve">claims </w:t>
      </w:r>
      <w:r w:rsidRPr="00683BEF">
        <w:t>of the device</w:t>
      </w:r>
      <w:r>
        <w:t>, or use the following table</w:t>
      </w:r>
    </w:p>
    <w:tbl>
      <w:tblPr>
        <w:tblStyle w:val="TableGrid"/>
        <w:tblW w:w="5000" w:type="pct"/>
        <w:tblLook w:val="04A0"/>
      </w:tblPr>
      <w:tblGrid>
        <w:gridCol w:w="4822"/>
        <w:gridCol w:w="4754"/>
      </w:tblGrid>
      <w:tr w:rsidR="00A14925" w:rsidTr="008C08BE">
        <w:tc>
          <w:tcPr>
            <w:tcW w:w="2518" w:type="pct"/>
          </w:tcPr>
          <w:p w:rsidR="00A14925" w:rsidRDefault="00A14925" w:rsidP="008C08BE">
            <w:pPr>
              <w:pStyle w:val="ListParagraph"/>
              <w:ind w:left="0"/>
              <w:rPr>
                <w:b/>
              </w:rPr>
            </w:pPr>
            <w:r>
              <w:rPr>
                <w:b/>
              </w:rPr>
              <w:t>Specification</w:t>
            </w:r>
          </w:p>
        </w:tc>
        <w:tc>
          <w:tcPr>
            <w:tcW w:w="2482" w:type="pct"/>
          </w:tcPr>
          <w:p w:rsidR="00A14925" w:rsidRDefault="00A14925" w:rsidP="008C08BE">
            <w:pPr>
              <w:pStyle w:val="ListParagraph"/>
              <w:ind w:left="0"/>
              <w:rPr>
                <w:b/>
              </w:rPr>
            </w:pPr>
            <w:r>
              <w:rPr>
                <w:b/>
              </w:rPr>
              <w:t>Claim (as stated in the Directions for Use)</w:t>
            </w:r>
          </w:p>
        </w:tc>
      </w:tr>
      <w:tr w:rsidR="00A14925" w:rsidRPr="008B0B10" w:rsidTr="008C08BE">
        <w:tc>
          <w:tcPr>
            <w:tcW w:w="2518" w:type="pct"/>
          </w:tcPr>
          <w:p w:rsidR="00A14925" w:rsidRPr="008B0B10" w:rsidRDefault="00A14925" w:rsidP="008C08BE">
            <w:pPr>
              <w:pStyle w:val="ListParagraph"/>
              <w:ind w:left="0"/>
            </w:pPr>
            <w:r w:rsidRPr="008B0B10">
              <w:t>Measuring Range</w:t>
            </w:r>
          </w:p>
        </w:tc>
        <w:tc>
          <w:tcPr>
            <w:tcW w:w="2482" w:type="pct"/>
          </w:tcPr>
          <w:p w:rsidR="00A14925" w:rsidRPr="008B0B10" w:rsidRDefault="00A14925" w:rsidP="008C08BE">
            <w:pPr>
              <w:pStyle w:val="ListParagraph"/>
              <w:ind w:left="0"/>
            </w:pPr>
          </w:p>
        </w:tc>
      </w:tr>
      <w:tr w:rsidR="00A14925" w:rsidRPr="008B0B10" w:rsidTr="008C08BE">
        <w:tc>
          <w:tcPr>
            <w:tcW w:w="2518" w:type="pct"/>
          </w:tcPr>
          <w:p w:rsidR="00A14925" w:rsidRPr="008B0B10" w:rsidRDefault="00A14925" w:rsidP="008C08BE">
            <w:pPr>
              <w:pStyle w:val="ListParagraph"/>
              <w:ind w:left="0"/>
            </w:pPr>
            <w:r>
              <w:t>Precision</w:t>
            </w:r>
          </w:p>
        </w:tc>
        <w:tc>
          <w:tcPr>
            <w:tcW w:w="2482" w:type="pct"/>
          </w:tcPr>
          <w:p w:rsidR="00A14925" w:rsidRPr="008B0B10" w:rsidRDefault="00A14925" w:rsidP="008C08BE">
            <w:pPr>
              <w:pStyle w:val="ListParagraph"/>
              <w:ind w:left="0"/>
            </w:pPr>
          </w:p>
        </w:tc>
      </w:tr>
      <w:tr w:rsidR="00A14925" w:rsidTr="008C08BE">
        <w:tc>
          <w:tcPr>
            <w:tcW w:w="2518" w:type="pct"/>
          </w:tcPr>
          <w:p w:rsidR="00A14925" w:rsidRPr="00DB7AA2" w:rsidRDefault="00A14925" w:rsidP="008C08BE">
            <w:pPr>
              <w:pStyle w:val="ListParagraph"/>
              <w:ind w:left="0"/>
            </w:pPr>
            <w:r>
              <w:t>Method Comparison</w:t>
            </w:r>
          </w:p>
        </w:tc>
        <w:tc>
          <w:tcPr>
            <w:tcW w:w="2482" w:type="pct"/>
          </w:tcPr>
          <w:p w:rsidR="00A14925" w:rsidRDefault="00A14925" w:rsidP="008C08BE">
            <w:pPr>
              <w:pStyle w:val="ListParagraph"/>
              <w:ind w:left="0"/>
              <w:rPr>
                <w:b/>
              </w:rPr>
            </w:pPr>
          </w:p>
        </w:tc>
      </w:tr>
      <w:tr w:rsidR="00A14925" w:rsidTr="008C08BE">
        <w:tc>
          <w:tcPr>
            <w:tcW w:w="2518" w:type="pct"/>
          </w:tcPr>
          <w:p w:rsidR="00A14925" w:rsidRDefault="00A14925" w:rsidP="008C08BE">
            <w:pPr>
              <w:pStyle w:val="ListParagraph"/>
              <w:ind w:left="0"/>
            </w:pPr>
            <w:r>
              <w:t>Interference</w:t>
            </w:r>
          </w:p>
        </w:tc>
        <w:tc>
          <w:tcPr>
            <w:tcW w:w="2482" w:type="pct"/>
          </w:tcPr>
          <w:p w:rsidR="00A14925" w:rsidRDefault="00A14925" w:rsidP="008C08BE">
            <w:pPr>
              <w:pStyle w:val="ListParagraph"/>
              <w:ind w:left="0"/>
              <w:rPr>
                <w:b/>
              </w:rPr>
            </w:pPr>
          </w:p>
        </w:tc>
      </w:tr>
      <w:tr w:rsidR="00A14925" w:rsidTr="008C08BE">
        <w:tc>
          <w:tcPr>
            <w:tcW w:w="2518" w:type="pct"/>
          </w:tcPr>
          <w:p w:rsidR="00A14925" w:rsidRDefault="00A14925" w:rsidP="008C08BE">
            <w:pPr>
              <w:pStyle w:val="ListParagraph"/>
              <w:ind w:left="0"/>
            </w:pPr>
            <w:r>
              <w:t>Hook Effect</w:t>
            </w:r>
          </w:p>
        </w:tc>
        <w:tc>
          <w:tcPr>
            <w:tcW w:w="2482" w:type="pct"/>
          </w:tcPr>
          <w:p w:rsidR="00A14925" w:rsidRDefault="00A14925" w:rsidP="008C08BE">
            <w:pPr>
              <w:pStyle w:val="ListParagraph"/>
              <w:ind w:left="0"/>
              <w:rPr>
                <w:b/>
              </w:rPr>
            </w:pPr>
          </w:p>
        </w:tc>
      </w:tr>
      <w:tr w:rsidR="00A14925" w:rsidRPr="008B0B10" w:rsidTr="008C08BE">
        <w:tc>
          <w:tcPr>
            <w:tcW w:w="2518" w:type="pct"/>
          </w:tcPr>
          <w:p w:rsidR="00A14925" w:rsidRPr="008B0B10" w:rsidRDefault="00A14925" w:rsidP="008C08BE">
            <w:pPr>
              <w:pStyle w:val="ListParagraph"/>
              <w:ind w:left="0"/>
            </w:pPr>
            <w:r w:rsidRPr="008B0B10">
              <w:t xml:space="preserve">Limit of </w:t>
            </w:r>
            <w:proofErr w:type="spellStart"/>
            <w:r w:rsidRPr="008B0B10">
              <w:t>Quantitation</w:t>
            </w:r>
            <w:proofErr w:type="spellEnd"/>
            <w:r w:rsidRPr="008B0B10">
              <w:t xml:space="preserve"> (</w:t>
            </w:r>
            <w:proofErr w:type="spellStart"/>
            <w:r w:rsidRPr="008B0B10">
              <w:t>LoQ</w:t>
            </w:r>
            <w:proofErr w:type="spellEnd"/>
            <w:r w:rsidRPr="008B0B10">
              <w:t>)</w:t>
            </w:r>
          </w:p>
        </w:tc>
        <w:tc>
          <w:tcPr>
            <w:tcW w:w="2482" w:type="pct"/>
          </w:tcPr>
          <w:p w:rsidR="00A14925" w:rsidRPr="008B0B10" w:rsidRDefault="00A14925" w:rsidP="008C08BE">
            <w:pPr>
              <w:pStyle w:val="ListParagraph"/>
              <w:ind w:left="0"/>
            </w:pPr>
          </w:p>
        </w:tc>
      </w:tr>
      <w:tr w:rsidR="00A14925" w:rsidTr="008C08BE">
        <w:tc>
          <w:tcPr>
            <w:tcW w:w="2518" w:type="pct"/>
          </w:tcPr>
          <w:p w:rsidR="00A14925" w:rsidRDefault="00A14925" w:rsidP="008C08BE">
            <w:pPr>
              <w:pStyle w:val="ListParagraph"/>
              <w:ind w:left="0"/>
            </w:pPr>
            <w:proofErr w:type="spellStart"/>
            <w:r>
              <w:t>LoD</w:t>
            </w:r>
            <w:proofErr w:type="spellEnd"/>
            <w:r>
              <w:t>/</w:t>
            </w:r>
            <w:proofErr w:type="spellStart"/>
            <w:r>
              <w:t>LoB</w:t>
            </w:r>
            <w:proofErr w:type="spellEnd"/>
          </w:p>
        </w:tc>
        <w:tc>
          <w:tcPr>
            <w:tcW w:w="2482" w:type="pct"/>
          </w:tcPr>
          <w:p w:rsidR="00A14925" w:rsidRDefault="00A14925" w:rsidP="008C08BE">
            <w:pPr>
              <w:pStyle w:val="ListParagraph"/>
              <w:ind w:left="0"/>
              <w:rPr>
                <w:b/>
              </w:rPr>
            </w:pPr>
          </w:p>
        </w:tc>
      </w:tr>
      <w:tr w:rsidR="00A14925" w:rsidTr="008C08BE">
        <w:tc>
          <w:tcPr>
            <w:tcW w:w="2518" w:type="pct"/>
          </w:tcPr>
          <w:p w:rsidR="00A14925" w:rsidRDefault="00A14925" w:rsidP="008C08BE">
            <w:pPr>
              <w:pStyle w:val="ListParagraph"/>
              <w:ind w:left="0"/>
            </w:pPr>
            <w:r>
              <w:t>…</w:t>
            </w:r>
          </w:p>
        </w:tc>
        <w:tc>
          <w:tcPr>
            <w:tcW w:w="2482" w:type="pct"/>
          </w:tcPr>
          <w:p w:rsidR="00A14925" w:rsidRDefault="00A14925" w:rsidP="008C08BE">
            <w:pPr>
              <w:pStyle w:val="ListParagraph"/>
              <w:ind w:left="0"/>
              <w:rPr>
                <w:b/>
              </w:rPr>
            </w:pPr>
          </w:p>
        </w:tc>
      </w:tr>
    </w:tbl>
    <w:p w:rsidR="00A14925" w:rsidRDefault="00A14925" w:rsidP="00A14925">
      <w:pPr>
        <w:pStyle w:val="ListParagraph"/>
        <w:spacing w:after="0"/>
        <w:rPr>
          <w:b/>
        </w:rPr>
      </w:pPr>
    </w:p>
    <w:p w:rsidR="00A14925" w:rsidRDefault="00A14925" w:rsidP="00A14925">
      <w:pPr>
        <w:pStyle w:val="ListParagraph"/>
        <w:spacing w:after="0"/>
      </w:pPr>
    </w:p>
    <w:p w:rsidR="0078036F" w:rsidRDefault="0078036F" w:rsidP="00CA3DAA">
      <w:pPr>
        <w:spacing w:after="0"/>
      </w:pPr>
    </w:p>
    <w:sectPr w:rsidR="0078036F" w:rsidSect="007F10EA">
      <w:headerReference w:type="default" r:id="rId8"/>
      <w:pgSz w:w="12240" w:h="15840"/>
      <w:pgMar w:top="1418" w:right="1440"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BE" w:rsidRDefault="008C08BE" w:rsidP="00232050">
      <w:pPr>
        <w:spacing w:after="0" w:line="240" w:lineRule="auto"/>
      </w:pPr>
      <w:r>
        <w:separator/>
      </w:r>
    </w:p>
  </w:endnote>
  <w:endnote w:type="continuationSeparator" w:id="0">
    <w:p w:rsidR="008C08BE" w:rsidRDefault="008C08BE" w:rsidP="00232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BE" w:rsidRDefault="008C08BE" w:rsidP="00232050">
      <w:pPr>
        <w:spacing w:after="0" w:line="240" w:lineRule="auto"/>
      </w:pPr>
      <w:r>
        <w:separator/>
      </w:r>
    </w:p>
  </w:footnote>
  <w:footnote w:type="continuationSeparator" w:id="0">
    <w:p w:rsidR="008C08BE" w:rsidRDefault="008C08BE" w:rsidP="00232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BE" w:rsidRDefault="008C08BE">
    <w:pPr>
      <w:pStyle w:val="Header"/>
    </w:pPr>
    <w:r>
      <w:tab/>
    </w:r>
    <w:r>
      <w:tab/>
    </w:r>
  </w:p>
  <w:p w:rsidR="008C08BE" w:rsidRDefault="008C0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909B7"/>
    <w:multiLevelType w:val="hybridMultilevel"/>
    <w:tmpl w:val="131C6B12"/>
    <w:lvl w:ilvl="0" w:tplc="007AA6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96D68"/>
    <w:multiLevelType w:val="hybridMultilevel"/>
    <w:tmpl w:val="10EA5224"/>
    <w:lvl w:ilvl="0" w:tplc="A7FAB61E">
      <w:numFmt w:val="bullet"/>
      <w:lvlText w:val="-"/>
      <w:lvlJc w:val="left"/>
      <w:pPr>
        <w:ind w:left="1572" w:hanging="360"/>
      </w:pPr>
      <w:rPr>
        <w:rFonts w:ascii="Calibri" w:eastAsiaTheme="minorHAnsi" w:hAnsi="Calibri" w:cs="Calibri"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
    <w:nsid w:val="779B554D"/>
    <w:multiLevelType w:val="hybridMultilevel"/>
    <w:tmpl w:val="4A4EF1B0"/>
    <w:lvl w:ilvl="0" w:tplc="E46481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Formatting/>
  <w:defaultTabStop w:val="720"/>
  <w:characterSpacingControl w:val="doNotCompress"/>
  <w:footnotePr>
    <w:footnote w:id="-1"/>
    <w:footnote w:id="0"/>
  </w:footnotePr>
  <w:endnotePr>
    <w:endnote w:id="-1"/>
    <w:endnote w:id="0"/>
  </w:endnotePr>
  <w:compat/>
  <w:rsids>
    <w:rsidRoot w:val="00DC2517"/>
    <w:rsid w:val="00016E4A"/>
    <w:rsid w:val="0005476C"/>
    <w:rsid w:val="000A5971"/>
    <w:rsid w:val="000B1EE0"/>
    <w:rsid w:val="000B5670"/>
    <w:rsid w:val="00120033"/>
    <w:rsid w:val="00221F7B"/>
    <w:rsid w:val="00232050"/>
    <w:rsid w:val="00267549"/>
    <w:rsid w:val="00275AFE"/>
    <w:rsid w:val="002C4DAB"/>
    <w:rsid w:val="00311E2D"/>
    <w:rsid w:val="00342AC0"/>
    <w:rsid w:val="003A49A6"/>
    <w:rsid w:val="003A60AB"/>
    <w:rsid w:val="00437F42"/>
    <w:rsid w:val="004E472B"/>
    <w:rsid w:val="00543FB7"/>
    <w:rsid w:val="00544486"/>
    <w:rsid w:val="00560E64"/>
    <w:rsid w:val="005A4B8B"/>
    <w:rsid w:val="005B64B0"/>
    <w:rsid w:val="005C7CA9"/>
    <w:rsid w:val="00627A09"/>
    <w:rsid w:val="006E5AB2"/>
    <w:rsid w:val="00707F82"/>
    <w:rsid w:val="00765019"/>
    <w:rsid w:val="0078036F"/>
    <w:rsid w:val="00781244"/>
    <w:rsid w:val="007B0B71"/>
    <w:rsid w:val="007F10EA"/>
    <w:rsid w:val="00801285"/>
    <w:rsid w:val="008303A1"/>
    <w:rsid w:val="00866B64"/>
    <w:rsid w:val="008C08BE"/>
    <w:rsid w:val="008D26BD"/>
    <w:rsid w:val="008E3D65"/>
    <w:rsid w:val="008F5B58"/>
    <w:rsid w:val="00935788"/>
    <w:rsid w:val="00945D1B"/>
    <w:rsid w:val="00957074"/>
    <w:rsid w:val="00974016"/>
    <w:rsid w:val="00981DD3"/>
    <w:rsid w:val="009D70F0"/>
    <w:rsid w:val="009E2E42"/>
    <w:rsid w:val="00A14925"/>
    <w:rsid w:val="00AE5231"/>
    <w:rsid w:val="00BB0A28"/>
    <w:rsid w:val="00CA3DAA"/>
    <w:rsid w:val="00CE2431"/>
    <w:rsid w:val="00D16940"/>
    <w:rsid w:val="00D52882"/>
    <w:rsid w:val="00D6714D"/>
    <w:rsid w:val="00D72EFE"/>
    <w:rsid w:val="00DC2517"/>
    <w:rsid w:val="00E219E5"/>
    <w:rsid w:val="00E40428"/>
    <w:rsid w:val="00E762EE"/>
    <w:rsid w:val="00EA1EB1"/>
    <w:rsid w:val="00F13EE2"/>
    <w:rsid w:val="00F30071"/>
    <w:rsid w:val="00FD75ED"/>
    <w:rsid w:val="00FF5B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6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2517"/>
    <w:rPr>
      <w:color w:val="808080"/>
    </w:rPr>
  </w:style>
  <w:style w:type="paragraph" w:styleId="BalloonText">
    <w:name w:val="Balloon Text"/>
    <w:basedOn w:val="Normal"/>
    <w:link w:val="BalloonTextChar"/>
    <w:uiPriority w:val="99"/>
    <w:semiHidden/>
    <w:unhideWhenUsed/>
    <w:rsid w:val="00DC2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17"/>
    <w:rPr>
      <w:rFonts w:ascii="Tahoma" w:hAnsi="Tahoma" w:cs="Tahoma"/>
      <w:sz w:val="16"/>
      <w:szCs w:val="16"/>
    </w:rPr>
  </w:style>
  <w:style w:type="paragraph" w:styleId="ListParagraph">
    <w:name w:val="List Paragraph"/>
    <w:basedOn w:val="Normal"/>
    <w:uiPriority w:val="34"/>
    <w:qFormat/>
    <w:rsid w:val="00F13EE2"/>
    <w:pPr>
      <w:ind w:left="720"/>
      <w:contextualSpacing/>
    </w:pPr>
  </w:style>
  <w:style w:type="character" w:customStyle="1" w:styleId="Style1">
    <w:name w:val="Style1"/>
    <w:basedOn w:val="DefaultParagraphFont"/>
    <w:uiPriority w:val="1"/>
    <w:rsid w:val="00560E64"/>
    <w:rPr>
      <w:rFonts w:ascii="Calibri" w:hAnsi="Calibri"/>
      <w:sz w:val="22"/>
    </w:rPr>
  </w:style>
  <w:style w:type="character" w:styleId="CommentReference">
    <w:name w:val="annotation reference"/>
    <w:basedOn w:val="DefaultParagraphFont"/>
    <w:uiPriority w:val="99"/>
    <w:semiHidden/>
    <w:unhideWhenUsed/>
    <w:rsid w:val="006E5AB2"/>
    <w:rPr>
      <w:sz w:val="16"/>
      <w:szCs w:val="16"/>
    </w:rPr>
  </w:style>
  <w:style w:type="paragraph" w:styleId="CommentText">
    <w:name w:val="annotation text"/>
    <w:basedOn w:val="Normal"/>
    <w:link w:val="CommentTextChar"/>
    <w:uiPriority w:val="99"/>
    <w:semiHidden/>
    <w:unhideWhenUsed/>
    <w:rsid w:val="006E5AB2"/>
    <w:pPr>
      <w:spacing w:line="240" w:lineRule="auto"/>
    </w:pPr>
    <w:rPr>
      <w:sz w:val="20"/>
      <w:szCs w:val="20"/>
    </w:rPr>
  </w:style>
  <w:style w:type="character" w:customStyle="1" w:styleId="CommentTextChar">
    <w:name w:val="Comment Text Char"/>
    <w:basedOn w:val="DefaultParagraphFont"/>
    <w:link w:val="CommentText"/>
    <w:uiPriority w:val="99"/>
    <w:semiHidden/>
    <w:rsid w:val="006E5AB2"/>
    <w:rPr>
      <w:sz w:val="20"/>
      <w:szCs w:val="20"/>
    </w:rPr>
  </w:style>
  <w:style w:type="paragraph" w:styleId="CommentSubject">
    <w:name w:val="annotation subject"/>
    <w:basedOn w:val="CommentText"/>
    <w:next w:val="CommentText"/>
    <w:link w:val="CommentSubjectChar"/>
    <w:uiPriority w:val="99"/>
    <w:semiHidden/>
    <w:unhideWhenUsed/>
    <w:rsid w:val="006E5AB2"/>
    <w:rPr>
      <w:b/>
      <w:bCs/>
    </w:rPr>
  </w:style>
  <w:style w:type="character" w:customStyle="1" w:styleId="CommentSubjectChar">
    <w:name w:val="Comment Subject Char"/>
    <w:basedOn w:val="CommentTextChar"/>
    <w:link w:val="CommentSubject"/>
    <w:uiPriority w:val="99"/>
    <w:semiHidden/>
    <w:rsid w:val="006E5AB2"/>
    <w:rPr>
      <w:b/>
      <w:bCs/>
      <w:sz w:val="20"/>
      <w:szCs w:val="20"/>
    </w:rPr>
  </w:style>
  <w:style w:type="paragraph" w:styleId="Header">
    <w:name w:val="header"/>
    <w:basedOn w:val="Normal"/>
    <w:link w:val="HeaderChar"/>
    <w:uiPriority w:val="99"/>
    <w:unhideWhenUsed/>
    <w:rsid w:val="0023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50"/>
  </w:style>
  <w:style w:type="paragraph" w:styleId="Footer">
    <w:name w:val="footer"/>
    <w:basedOn w:val="Normal"/>
    <w:link w:val="FooterChar"/>
    <w:uiPriority w:val="99"/>
    <w:unhideWhenUsed/>
    <w:rsid w:val="0023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517"/>
    <w:rPr>
      <w:color w:val="808080"/>
    </w:rPr>
  </w:style>
  <w:style w:type="paragraph" w:styleId="BalloonText">
    <w:name w:val="Balloon Text"/>
    <w:basedOn w:val="Normal"/>
    <w:link w:val="BalloonTextChar"/>
    <w:uiPriority w:val="99"/>
    <w:semiHidden/>
    <w:unhideWhenUsed/>
    <w:rsid w:val="00DC2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17"/>
    <w:rPr>
      <w:rFonts w:ascii="Tahoma" w:hAnsi="Tahoma" w:cs="Tahoma"/>
      <w:sz w:val="16"/>
      <w:szCs w:val="16"/>
    </w:rPr>
  </w:style>
  <w:style w:type="paragraph" w:styleId="ListParagraph">
    <w:name w:val="List Paragraph"/>
    <w:basedOn w:val="Normal"/>
    <w:uiPriority w:val="34"/>
    <w:qFormat/>
    <w:rsid w:val="00F13EE2"/>
    <w:pPr>
      <w:ind w:left="720"/>
      <w:contextualSpacing/>
    </w:pPr>
  </w:style>
  <w:style w:type="character" w:customStyle="1" w:styleId="Style1">
    <w:name w:val="Style1"/>
    <w:basedOn w:val="DefaultParagraphFont"/>
    <w:uiPriority w:val="1"/>
    <w:rsid w:val="00560E64"/>
    <w:rPr>
      <w:rFonts w:ascii="Calibri" w:hAnsi="Calibri"/>
      <w:sz w:val="22"/>
    </w:rPr>
  </w:style>
  <w:style w:type="character" w:styleId="CommentReference">
    <w:name w:val="annotation reference"/>
    <w:basedOn w:val="DefaultParagraphFont"/>
    <w:uiPriority w:val="99"/>
    <w:semiHidden/>
    <w:unhideWhenUsed/>
    <w:rsid w:val="006E5AB2"/>
    <w:rPr>
      <w:sz w:val="16"/>
      <w:szCs w:val="16"/>
    </w:rPr>
  </w:style>
  <w:style w:type="paragraph" w:styleId="CommentText">
    <w:name w:val="annotation text"/>
    <w:basedOn w:val="Normal"/>
    <w:link w:val="CommentTextChar"/>
    <w:uiPriority w:val="99"/>
    <w:semiHidden/>
    <w:unhideWhenUsed/>
    <w:rsid w:val="006E5AB2"/>
    <w:pPr>
      <w:spacing w:line="240" w:lineRule="auto"/>
    </w:pPr>
    <w:rPr>
      <w:sz w:val="20"/>
      <w:szCs w:val="20"/>
    </w:rPr>
  </w:style>
  <w:style w:type="character" w:customStyle="1" w:styleId="CommentTextChar">
    <w:name w:val="Comment Text Char"/>
    <w:basedOn w:val="DefaultParagraphFont"/>
    <w:link w:val="CommentText"/>
    <w:uiPriority w:val="99"/>
    <w:semiHidden/>
    <w:rsid w:val="006E5AB2"/>
    <w:rPr>
      <w:sz w:val="20"/>
      <w:szCs w:val="20"/>
    </w:rPr>
  </w:style>
  <w:style w:type="paragraph" w:styleId="CommentSubject">
    <w:name w:val="annotation subject"/>
    <w:basedOn w:val="CommentText"/>
    <w:next w:val="CommentText"/>
    <w:link w:val="CommentSubjectChar"/>
    <w:uiPriority w:val="99"/>
    <w:semiHidden/>
    <w:unhideWhenUsed/>
    <w:rsid w:val="006E5AB2"/>
    <w:rPr>
      <w:b/>
      <w:bCs/>
    </w:rPr>
  </w:style>
  <w:style w:type="character" w:customStyle="1" w:styleId="CommentSubjectChar">
    <w:name w:val="Comment Subject Char"/>
    <w:basedOn w:val="CommentTextChar"/>
    <w:link w:val="CommentSubject"/>
    <w:uiPriority w:val="99"/>
    <w:semiHidden/>
    <w:rsid w:val="006E5AB2"/>
    <w:rPr>
      <w:b/>
      <w:bCs/>
      <w:sz w:val="20"/>
      <w:szCs w:val="20"/>
    </w:rPr>
  </w:style>
  <w:style w:type="paragraph" w:styleId="Header">
    <w:name w:val="header"/>
    <w:basedOn w:val="Normal"/>
    <w:link w:val="HeaderChar"/>
    <w:uiPriority w:val="99"/>
    <w:unhideWhenUsed/>
    <w:rsid w:val="0023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50"/>
  </w:style>
  <w:style w:type="paragraph" w:styleId="Footer">
    <w:name w:val="footer"/>
    <w:basedOn w:val="Normal"/>
    <w:link w:val="FooterChar"/>
    <w:uiPriority w:val="99"/>
    <w:unhideWhenUsed/>
    <w:rsid w:val="0023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50"/>
  </w:style>
</w:styles>
</file>

<file path=word/webSettings.xml><?xml version="1.0" encoding="utf-8"?>
<w:webSettings xmlns:r="http://schemas.openxmlformats.org/officeDocument/2006/relationships" xmlns:w="http://schemas.openxmlformats.org/wordprocessingml/2006/main">
  <w:divs>
    <w:div w:id="2750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08C37070DB44D092AE1B86A1196848"/>
        <w:category>
          <w:name w:val="General"/>
          <w:gallery w:val="placeholder"/>
        </w:category>
        <w:types>
          <w:type w:val="bbPlcHdr"/>
        </w:types>
        <w:behaviors>
          <w:behavior w:val="content"/>
        </w:behaviors>
        <w:guid w:val="{9E9CCB9B-B0C5-4F72-8070-D62ED6869E26}"/>
      </w:docPartPr>
      <w:docPartBody>
        <w:p w:rsidR="0020536C" w:rsidRDefault="00A3330F" w:rsidP="00A3330F">
          <w:pPr>
            <w:pStyle w:val="1E08C37070DB44D092AE1B86A1196848"/>
          </w:pPr>
          <w:r w:rsidRPr="004F14F9">
            <w:rPr>
              <w:rStyle w:val="PlaceholderText"/>
            </w:rPr>
            <w:t>Choose an item.</w:t>
          </w:r>
        </w:p>
      </w:docPartBody>
    </w:docPart>
    <w:docPart>
      <w:docPartPr>
        <w:name w:val="70AA08D721DD4C5C86B24C6ABA9E8C38"/>
        <w:category>
          <w:name w:val="General"/>
          <w:gallery w:val="placeholder"/>
        </w:category>
        <w:types>
          <w:type w:val="bbPlcHdr"/>
        </w:types>
        <w:behaviors>
          <w:behavior w:val="content"/>
        </w:behaviors>
        <w:guid w:val="{6120F963-67AA-4A53-AC61-6CFDCAE2892F}"/>
      </w:docPartPr>
      <w:docPartBody>
        <w:p w:rsidR="0020536C" w:rsidRDefault="00A3330F" w:rsidP="00A3330F">
          <w:pPr>
            <w:pStyle w:val="70AA08D721DD4C5C86B24C6ABA9E8C38"/>
          </w:pPr>
          <w:r w:rsidRPr="004F14F9">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52B7C"/>
    <w:rsid w:val="001F1E41"/>
    <w:rsid w:val="0020536C"/>
    <w:rsid w:val="00251D50"/>
    <w:rsid w:val="002A0141"/>
    <w:rsid w:val="00346587"/>
    <w:rsid w:val="00352B7C"/>
    <w:rsid w:val="00395C7C"/>
    <w:rsid w:val="00483E45"/>
    <w:rsid w:val="00641CF6"/>
    <w:rsid w:val="00664685"/>
    <w:rsid w:val="007C5DFB"/>
    <w:rsid w:val="00982F03"/>
    <w:rsid w:val="00A3330F"/>
    <w:rsid w:val="00AD53AE"/>
    <w:rsid w:val="00DA0A9B"/>
    <w:rsid w:val="00DA1BF4"/>
    <w:rsid w:val="00DE13E8"/>
    <w:rsid w:val="00E126C1"/>
    <w:rsid w:val="00EF6C70"/>
    <w:rsid w:val="00F14F8D"/>
    <w:rsid w:val="00FB59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30F"/>
    <w:rPr>
      <w:color w:val="808080"/>
    </w:rPr>
  </w:style>
  <w:style w:type="paragraph" w:customStyle="1" w:styleId="024EC5DD4A74482784ED4593EC2F2DEA">
    <w:name w:val="024EC5DD4A74482784ED4593EC2F2DEA"/>
    <w:rsid w:val="00352B7C"/>
  </w:style>
  <w:style w:type="paragraph" w:customStyle="1" w:styleId="5A1B83C7D87144C0940C2EB72B8E9595">
    <w:name w:val="5A1B83C7D87144C0940C2EB72B8E9595"/>
    <w:rsid w:val="00352B7C"/>
    <w:rPr>
      <w:rFonts w:eastAsiaTheme="minorHAnsi"/>
    </w:rPr>
  </w:style>
  <w:style w:type="paragraph" w:customStyle="1" w:styleId="2EEFF5DA08B3411B913684E9BB5EB86D">
    <w:name w:val="2EEFF5DA08B3411B913684E9BB5EB86D"/>
    <w:rsid w:val="00352B7C"/>
  </w:style>
  <w:style w:type="paragraph" w:customStyle="1" w:styleId="1AF85178ACC44B75BFAA986532BEFDFA">
    <w:name w:val="1AF85178ACC44B75BFAA986532BEFDFA"/>
    <w:rsid w:val="00F14F8D"/>
    <w:rPr>
      <w:lang w:val="en-CA" w:eastAsia="en-CA"/>
    </w:rPr>
  </w:style>
  <w:style w:type="paragraph" w:customStyle="1" w:styleId="2F88B4C1226C43BCA2B4FE615D54348F">
    <w:name w:val="2F88B4C1226C43BCA2B4FE615D54348F"/>
    <w:rsid w:val="00DE13E8"/>
  </w:style>
  <w:style w:type="paragraph" w:customStyle="1" w:styleId="2EEFF5DA08B3411B913684E9BB5EB86D1">
    <w:name w:val="2EEFF5DA08B3411B913684E9BB5EB86D1"/>
    <w:rsid w:val="00A3330F"/>
    <w:rPr>
      <w:rFonts w:eastAsiaTheme="minorHAnsi"/>
    </w:rPr>
  </w:style>
  <w:style w:type="paragraph" w:customStyle="1" w:styleId="1E08C37070DB44D092AE1B86A1196848">
    <w:name w:val="1E08C37070DB44D092AE1B86A1196848"/>
    <w:rsid w:val="00A3330F"/>
    <w:rPr>
      <w:rFonts w:eastAsiaTheme="minorHAnsi"/>
    </w:rPr>
  </w:style>
  <w:style w:type="paragraph" w:customStyle="1" w:styleId="70AA08D721DD4C5C86B24C6ABA9E8C38">
    <w:name w:val="70AA08D721DD4C5C86B24C6ABA9E8C38"/>
    <w:rsid w:val="00A3330F"/>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580A6E58266348B4E2276348642273" ma:contentTypeVersion="16" ma:contentTypeDescription="Create a new document." ma:contentTypeScope="" ma:versionID="af1f7457d174e7c969f72724119b1442">
  <xsd:schema xmlns:xsd="http://www.w3.org/2001/XMLSchema" xmlns:xs="http://www.w3.org/2001/XMLSchema" xmlns:p="http://schemas.microsoft.com/office/2006/metadata/properties" xmlns:ns2="9ab91a9e-7414-4d15-a25f-5cc550206605" xmlns:ns3="2ac4eb74-4770-4b30-9f1b-88ca725579c4" targetNamespace="http://schemas.microsoft.com/office/2006/metadata/properties" ma:root="true" ma:fieldsID="36077e98aa411062a352dc2181e35eb2" ns2:_="" ns3:_="">
    <xsd:import namespace="9ab91a9e-7414-4d15-a25f-5cc550206605"/>
    <xsd:import namespace="2ac4eb74-4770-4b30-9f1b-88ca72557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91a9e-7414-4d15-a25f-5cc550206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bded76-991f-4be9-b445-5fea11ec06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c4eb74-4770-4b30-9f1b-88ca72557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a1746b-41f5-4bbb-8ef5-fd969e27fb75}" ma:internalName="TaxCatchAll" ma:showField="CatchAllData" ma:web="2ac4eb74-4770-4b30-9f1b-88ca72557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BE7F8-01AF-4483-A3DE-ED8D0A3FE5A3}">
  <ds:schemaRefs>
    <ds:schemaRef ds:uri="http://schemas.openxmlformats.org/officeDocument/2006/bibliography"/>
  </ds:schemaRefs>
</ds:datastoreItem>
</file>

<file path=customXml/itemProps2.xml><?xml version="1.0" encoding="utf-8"?>
<ds:datastoreItem xmlns:ds="http://schemas.openxmlformats.org/officeDocument/2006/customXml" ds:itemID="{B34340FB-062A-46C0-9E37-11211263C551}"/>
</file>

<file path=customXml/itemProps3.xml><?xml version="1.0" encoding="utf-8"?>
<ds:datastoreItem xmlns:ds="http://schemas.openxmlformats.org/officeDocument/2006/customXml" ds:itemID="{187E282D-C476-4195-973D-92E5EDED8F21}"/>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Young [MEDCA]</dc:creator>
  <cp:lastModifiedBy>Monica Magidin</cp:lastModifiedBy>
  <cp:revision>2</cp:revision>
  <dcterms:created xsi:type="dcterms:W3CDTF">2017-05-03T14:01:00Z</dcterms:created>
  <dcterms:modified xsi:type="dcterms:W3CDTF">2017-05-03T14:01:00Z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1091848296</vt:i4>
  </property>
  <property fmtid="{D5CDD505-2E9C-101B-9397-08002B2CF9AE}" pid="4" name="_EmailSubject">
    <vt:lpwstr>Update to the IVDD Executive Summary Template</vt:lpwstr>
  </property>
  <property fmtid="{D5CDD505-2E9C-101B-9397-08002B2CF9AE}" pid="5" name="_AuthorEmail">
    <vt:lpwstr>monica.magidin@siemens-healthineers.com</vt:lpwstr>
  </property>
  <property fmtid="{D5CDD505-2E9C-101B-9397-08002B2CF9AE}" pid="6" name="_AuthorEmailDisplayName">
    <vt:lpwstr>MAGIDIN, MONICA (HC NAM CAN OPE RA)</vt:lpwstr>
  </property>
</Properties>
</file>